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8B" w:rsidRPr="00FF188B" w:rsidRDefault="00FF188B" w:rsidP="00FF188B">
      <w:pPr>
        <w:shd w:val="clear" w:color="auto" w:fill="FFFFFF"/>
        <w:spacing w:after="150" w:line="240" w:lineRule="auto"/>
        <w:outlineLvl w:val="2"/>
        <w:rPr>
          <w:rFonts w:ascii="Arial" w:eastAsia="Times New Roman" w:hAnsi="Arial" w:cs="Arial"/>
          <w:b/>
          <w:bCs/>
          <w:color w:val="00468C"/>
          <w:sz w:val="30"/>
          <w:szCs w:val="30"/>
        </w:rPr>
      </w:pPr>
      <w:r w:rsidRPr="00FF188B">
        <w:rPr>
          <w:rFonts w:ascii="Arial" w:eastAsia="Times New Roman" w:hAnsi="Arial" w:cs="Arial"/>
          <w:b/>
          <w:bCs/>
          <w:color w:val="00468C"/>
          <w:sz w:val="30"/>
          <w:szCs w:val="30"/>
        </w:rPr>
        <w:t>Kế hoạch cải cách thủ tục hành chính trọng tâm năm 2025</w:t>
      </w:r>
    </w:p>
    <w:p w:rsidR="00FF188B" w:rsidRPr="00FF188B" w:rsidRDefault="00FF188B" w:rsidP="00FF188B">
      <w:pPr>
        <w:shd w:val="clear" w:color="auto" w:fill="FFFFFF"/>
        <w:spacing w:after="300" w:line="240" w:lineRule="auto"/>
        <w:jc w:val="both"/>
        <w:rPr>
          <w:rFonts w:ascii="Arial" w:eastAsia="Times New Roman" w:hAnsi="Arial" w:cs="Arial"/>
          <w:b/>
          <w:bCs/>
          <w:i/>
          <w:iCs/>
          <w:color w:val="333333"/>
          <w:sz w:val="23"/>
          <w:szCs w:val="23"/>
        </w:rPr>
      </w:pPr>
      <w:bookmarkStart w:id="0" w:name="_GoBack"/>
      <w:bookmarkEnd w:id="0"/>
      <w:r w:rsidRPr="00FF188B">
        <w:rPr>
          <w:rFonts w:ascii="Arial" w:eastAsia="Times New Roman" w:hAnsi="Arial" w:cs="Arial"/>
          <w:b/>
          <w:bCs/>
          <w:i/>
          <w:iCs/>
          <w:color w:val="333333"/>
          <w:sz w:val="23"/>
          <w:szCs w:val="23"/>
        </w:rPr>
        <w:t>Phó Thủ tướng Thường trực Nguyễn Hòa Bình ký Quyết định số 240/QĐ-TTg ngày 4/2/2025 ban hành Kế hoạch cải cách thủ tục hành chính trọng tâm năm 2025.</w:t>
      </w:r>
    </w:p>
    <w:p w:rsidR="00FF188B" w:rsidRPr="00FF188B" w:rsidRDefault="00FF188B" w:rsidP="00FF188B">
      <w:pPr>
        <w:shd w:val="clear" w:color="auto" w:fill="FFFFFF"/>
        <w:spacing w:after="0" w:line="240" w:lineRule="auto"/>
        <w:outlineLvl w:val="2"/>
        <w:rPr>
          <w:rFonts w:ascii="NotoSerif" w:eastAsia="Times New Roman" w:hAnsi="NotoSerif" w:cs="Arial"/>
          <w:color w:val="333333"/>
          <w:sz w:val="36"/>
          <w:szCs w:val="36"/>
        </w:rPr>
      </w:pPr>
      <w:r w:rsidRPr="00FF188B">
        <w:rPr>
          <w:rFonts w:ascii="NotoSerif" w:eastAsia="Times New Roman" w:hAnsi="NotoSerif" w:cs="Arial"/>
          <w:color w:val="333333"/>
          <w:sz w:val="36"/>
          <w:szCs w:val="36"/>
        </w:rPr>
        <w:t>Đổi mới toàn diện việc giải quyết TTHC, cung cấp dịch vụ công không phụ thuộc địa giới hành chính</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Kế hoạch cải cách thủ tục hành chính trọng tâm năm 2025 đặt mục tiêu: </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Quán triệt, triển khai chỉ đạo của Bộ Chính trị về công tác cải cách thủ tục hành chính (TTHC) tại Nghị quyết số 57-NQ/TW ngày 22 tháng 12 năm 2024 về đột phá phát triển khoa học, công nghệ, đổi mới sáng tạo và chuyển đổi số quốc gia và các nhiệm vụ, giải pháp theo yêu cầu của Quốc hội tại Nghị quyết số 142/2024/QH15 ngày 29 tháng 6 năm 2024 và các chương trình, kế hoạch, đề án, văn bản được Chính phủ, Thủ tướng Chính phủ ban hành, bảo đảm thực hiện có kết quả, hoàn thành các mục tiêu, chỉ tiêu đề ra trong năm 2025 và giai đoạn 2021-2025.</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Tăng cường kiểm soát chặt chẽ việc ban hành quy định TTHC trong các dự án, dự thảo văn bản quy phạm pháp luật (QPPL); thực hiện nghiêm việc đánh giá tác động chính sách, TTHC trong lập đề nghị, dự án, dự thảo văn bản quy phạm pháp luật, nâng cao hiệu quả việc tham vấn đối tượng chịu tác động, công tác thẩm định, thẩm tra theo quy định của pháp luật.</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Tiếp tục rà soát, cắt giảm, đơn giản hóa các TTHC thực chất, hiệu quả, trong đó tập trung cắt giảm giấy phép tại các bộ, ngành, địa phương và loại bỏ ngay những quy định, TTHC đang là rào cản cho hoạt động sản xuất, kinh doanh của doanh nghiệp, nhà đầu tư trong và nước ngoài và đời sống người dân để tháo gỡ các điểm nghẽn, khơi thông nguồn lực, tiết kiệm chi phí cho người dân, doanh nghiệp, cải thiện môi trường đầu tư kinh doanh.</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xml:space="preserve">- Đổi mới toàn diện việc giải quyết TTHC, cung cấp dịch vụ công không phụ thuộc địa giới hành chính; tổ chức triển khai thí điểm thành công mô hình Trung tâm phục vụ hành </w:t>
      </w:r>
      <w:r w:rsidRPr="00FF188B">
        <w:rPr>
          <w:rFonts w:ascii="NotoSerif" w:eastAsia="Times New Roman" w:hAnsi="NotoSerif" w:cs="Arial"/>
          <w:color w:val="333333"/>
          <w:sz w:val="26"/>
          <w:szCs w:val="26"/>
        </w:rPr>
        <w:lastRenderedPageBreak/>
        <w:t>chính công một cấp trực thuộc Ủy ban nhân dân cấp tỉnh; nâng cao chất lượng dịch vụ công trực tuyến, dịch vụ số cho người dân và doanh nghiệp, hướng tới cung cấp dịch vụ công trực tuyến toàn trình, cá nhân hoá và dựa trên dữ liệu.</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Gắn kết chặt chẽ giữa cải cách TTHC với chuyển đổi số, triển khai Đề án 06, hiện đại hóa công tác chỉ đạo, điều hành, phục vụ người dân, doanh nghiệp, tạo ra những chuyển biến mạnh mẽ, đổi mới tư duy, hành động; áp dụng các thành tựu khoa học, công nghệ, phương pháp tiên tiến và mạnh dạn thí điểm các sáng kiến, giải pháp mới đáp ứng yêu cầu thực tiễn và xu thế phát triển.</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Tăng cường giám sát, đánh giá và trách nhiệm giải trình của cơ quan nhà nước, người có thẩm quyền trong phục vụ Nhân dân; nâng cao chất lượng đội ngũ cán bộ, công chức, viên chức làm công tác cải cách TTHC.</w:t>
      </w:r>
    </w:p>
    <w:p w:rsidR="00FF188B" w:rsidRPr="00FF188B" w:rsidRDefault="00FF188B" w:rsidP="00FF188B">
      <w:pPr>
        <w:shd w:val="clear" w:color="auto" w:fill="FFFFFF"/>
        <w:spacing w:after="0" w:line="240" w:lineRule="auto"/>
        <w:outlineLvl w:val="2"/>
        <w:rPr>
          <w:rFonts w:ascii="NotoSerif" w:eastAsia="Times New Roman" w:hAnsi="NotoSerif" w:cs="Arial"/>
          <w:color w:val="333333"/>
          <w:sz w:val="36"/>
          <w:szCs w:val="36"/>
        </w:rPr>
      </w:pPr>
      <w:r w:rsidRPr="00FF188B">
        <w:rPr>
          <w:rFonts w:ascii="NotoSerif" w:eastAsia="Times New Roman" w:hAnsi="NotoSerif" w:cs="Arial"/>
          <w:b/>
          <w:bCs/>
          <w:color w:val="333333"/>
          <w:sz w:val="36"/>
          <w:szCs w:val="36"/>
        </w:rPr>
        <w:t>3 nhiệm vụ trọng tâm</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Kế hoạch nêu rõ, quán triệt, triển khai chỉ đạo của Bộ Chính trị về công tác cải cách TTHC tại Nghị quyết số 57-NQ/TW ngày 22/12/2024 và các nhiệm vụ, giải pháp theo yêu cầu của Quốc hội tại Nghị quyết số 142/2024/QH15 ngày 29/6/2024 và các chương trình, kế hoạch, đề án, văn bản được Chính phủ, Thủ tướng Chính phủ ban hành, quyết tâm hoàn thành các mục tiêu, chỉ tiêu được Chính phủ, Thủ tướng Chính phủ giao trong năm 2025 tại Nghị quyết số 01/NQ-CP ngày 08/01/2025, Nghị quyết số 02/NQ-CP ngày 08/01/2025 của Chính phủ và giai đoạn 2021-2025 tại Nghị quyết số 76/NQ-CP ngày 15/7/2021, Nghị quyết số 68/NQ-CP ngày 12/5/2020 của Chính phủ và Quyết định số 468/QĐ-TTg ngày 27/03/2021, Quyết định số 06/QĐ-TTg ngày 06/01/2022, Thủ tướng Chính phủ yêu cầu các đồng chí Bộ trưởng, Thủ trưởng cơ quan ngang bộ, cơ quan thuộc Chính phủ, Chủ tịch Ủy ban nhân dân các tỉnh, thành phố trực thuộc Trung ương tập trung chỉ đạo thực hiện 3 nhiệm vụ cụ thể sau:</w:t>
      </w:r>
    </w:p>
    <w:p w:rsidR="00FF188B" w:rsidRPr="00FF188B" w:rsidRDefault="00FF188B" w:rsidP="00FF188B">
      <w:pPr>
        <w:shd w:val="clear" w:color="auto" w:fill="FFFFFF"/>
        <w:spacing w:after="0" w:line="240" w:lineRule="auto"/>
        <w:outlineLvl w:val="3"/>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1- Cải cách các quy định TTHC, quy định liên quan đến hoạt động kinh doanh (QĐKD)</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lastRenderedPageBreak/>
        <w:t>- Kiểm soát quy định TTHC ngay từ khâu xây dựng văn bản QPPL: Các bộ, ngành, địa phương kiểm soát chặt chẽ và thực hiện nghiêm việc đánh giá tác động chính sách, TTHC tại các đề nghị xây dựng, dự án, dự thảo văn bản QPPL; tiếp thu, giải trình đầy đủ ý kiến thẩm định, thẩm tra về chính sách, TTHC; nâng cao hiệu quả việc tham vấn đối tượng chịu tác động, bảo đảm thực hiện đúng theo yêu cầu của Luật ban hành văn bản QPPL; thường xuyên giám sát, theo dõi việc thực hiện các quy định, TTHC sau khi được ban hành; kịp thời lắng nghe, phát hiện để sửa đổi, bổ sung những quy định, TTHC không còn phù hợp...</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Cắt giảm, đơn giản hóa QĐKD, TTHC và phân cấp thẩm quyền giải quyết TTHC tạo thuận lợi cho người dân, doanh nghiệp: Các bộ, cơ quan ngang bộ khẩn trương xây dựng, trình ban hành hoặc ban hành theo thẩm quyền sửa đổi các văn bản QPPL theo hình thức một văn bản sửa nhiều văn bản để cắt giảm, đơn giản hoá TTHC, QĐKD và giấy tờ công dân liên quan đến quản lý dân cư theo các phương án cắt giảm, đơn giản hóa đã được Chính phủ, Thủ tướng Chính phủ phê duyệt; tổ chức triển khai Chương trình cắt giảm giấy phép tại các bộ, ngành, địa phương và chuyển một số nhiệm vụ, hoạt động cấp phép cho doanh nghiệp, tổ chức xã hội đảm nhiệm giai đoạn 2025-2030 ngay sau khi được Chính phủ phê duyệt; rà soát, đơn giản hóa TTHC trong quản lý và triển khai thực hiện nhiệm vụ phát triển khoa học, công nghệ, đổi mới sáng tạo và chuyển đổi số quốc gia...</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xml:space="preserve">- Cắt giảm, đơn giản hóa TTHC nội bộ trong hệ thống hành chính nhà nước: Các bộ, ngành, địa phương khẩn trương rà soát, công bố đầy đủ TTHC nội bộ giữa cơ quan hành chính nhà nước với nhau, giữa các bộ, cơ quan với các Cục, Vụ và tương đương, giữa Ủy ban nhân dân cấp tỉnh với các sở, ngành, Ủy ban nhân dân cấp huyện; tập trung xây dựng, trình ban hành hoặc ban hành theo thẩm quyền sửa đổi các văn bản để thực thi các phương án cắt giảm, đơn giản hóa TTHC nội bộ đã được Thủ tướng Chính phủ, Bộ trưởng, Thủ trưởng cơ quan ngang bộ và Chủ tịch Ủy ban nhân dân tỉnh, thành phố trực thuộc Trung ương phê duyệt; rà soát, tái cấu trúc quy trình các TTHC nội bộ trên các lĩnh </w:t>
      </w:r>
      <w:r w:rsidRPr="00FF188B">
        <w:rPr>
          <w:rFonts w:ascii="NotoSerif" w:eastAsia="Times New Roman" w:hAnsi="NotoSerif" w:cs="Arial"/>
          <w:color w:val="333333"/>
          <w:sz w:val="26"/>
          <w:szCs w:val="26"/>
        </w:rPr>
        <w:lastRenderedPageBreak/>
        <w:t>vực: Kế hoạch; chiến lược; nhân sự; tài chính - kế toán; văn thư lưu trữ; tài sản; thi đua-khen thưởng...</w:t>
      </w:r>
    </w:p>
    <w:p w:rsidR="00FF188B" w:rsidRPr="00FF188B" w:rsidRDefault="00FF188B" w:rsidP="00FF188B">
      <w:pPr>
        <w:shd w:val="clear" w:color="auto" w:fill="FFFFFF"/>
        <w:spacing w:after="0" w:line="240" w:lineRule="auto"/>
        <w:jc w:val="both"/>
        <w:outlineLvl w:val="3"/>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2- Đổi mới việc thực hiện, giải quyết TTHC, cung cấp dịch vụ công phục vụ người dân, doanh nghiệp</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Các bộ, cơ quan ngang bộ, Ủy ban nhân dân các tỉnh, thành phố trực thuộc Trung ương công bố, công khai kịp thời, đầy đủ, chính xác các TTHC trên cơ sở dữ liệu quốc gia về TTHC theo quy định; thực hiện nghiêm việc gửi, nhận văn bản điện tử, xử lý hồ sơ công việc toàn trình trên môi trường điện tử; 100% hồ sơ TTHC phải được tiếp nhận, giải quyết trên Hệ thống thông tin giải quyết TTHC cấp bộ, cấp tỉnh và liên thông, đồng bộ với Cổng Dịch vụ công quốc gia để người dân, doanh nghiệp theo dõi, đánh giá quá trình thực hiện.</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Đẩy mạnh triển khai thực hiện dịch vụ công trực tuyến toàn trình, dịch vụ công trực tuyến một phần; phấn đấu đến hết năm 2025 đạt 100% TTHC đủ điều kiện theo quy định của pháp luật được cung cấp dưới hình thức dịch vụ công trực tuyến toàn trình, tối thiểu 80% hồ sơ TTHC được xử lý hoàn toàn trực tuyến; khuyến khích người dân, doanh nghiệp thực hiện TTHC trên môi trường điện tử; giảm tối đa thời gian, chi phí đi lại cho việc gửi hồ sơ và nhận kết quả giải quyết TTHC của các tổ chức, cá nhân; tăng tính công khai, minh bạch khi giải quyết TTHC; đẩy nhanh số hóa hồ sơ, kết quả giải quyết TTHC; làm sạch dữ liệu, gắn việc số hóa với thực hiện nhiệm vụ của cán bộ, công chức, viên chức trong quá trình tiếp nhận, giải quyết TTHC; tái sử dụng dữ liệu đã được số hóa giữa các bộ, ngành, địa phương thông qua kết nối, chia sẻ dữ liệu với Kho quản lý dữ liệu cá nhân, tổ chức trên Cổng Dịch vụ công quốc gia.</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xml:space="preserve">Tổ chức thực hiện nghiêm việc tiếp nhận, xử lý các phản ánh, kiến nghị của cá nhân, tổ chức và chỉ đạo, đề nghị của Tổ công tác cải cách TTHC, Hội đồng tư vấn cải cách TTHC của Thủ tướng Chính phủ về các kiến nghị, đề xuất, vướng mắc, khó khăn liên quan đến cơ chế, chính sách, TTHC là rào cản cho hoạt động sản xuất, kinh doanh của doanh nghiệp và đời sống của người dân. Tổ chức kiểm tra, xác minh, làm rõ hành </w:t>
      </w:r>
      <w:proofErr w:type="gramStart"/>
      <w:r w:rsidRPr="00FF188B">
        <w:rPr>
          <w:rFonts w:ascii="NotoSerif" w:eastAsia="Times New Roman" w:hAnsi="NotoSerif" w:cs="Arial"/>
          <w:color w:val="333333"/>
          <w:sz w:val="26"/>
          <w:szCs w:val="26"/>
        </w:rPr>
        <w:t>vi</w:t>
      </w:r>
      <w:proofErr w:type="gramEnd"/>
      <w:r w:rsidRPr="00FF188B">
        <w:rPr>
          <w:rFonts w:ascii="NotoSerif" w:eastAsia="Times New Roman" w:hAnsi="NotoSerif" w:cs="Arial"/>
          <w:color w:val="333333"/>
          <w:sz w:val="26"/>
          <w:szCs w:val="26"/>
        </w:rPr>
        <w:t xml:space="preserve"> </w:t>
      </w:r>
      <w:r w:rsidRPr="00FF188B">
        <w:rPr>
          <w:rFonts w:ascii="NotoSerif" w:eastAsia="Times New Roman" w:hAnsi="NotoSerif" w:cs="Arial"/>
          <w:color w:val="333333"/>
          <w:sz w:val="26"/>
          <w:szCs w:val="26"/>
        </w:rPr>
        <w:lastRenderedPageBreak/>
        <w:t>nhũng nhiễu, gây khó khăn trong giải quyết TTHC và xử lý nghiêm các tổ chức, cá nhân có liên quan theo đúng quy định...</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Ủy ban nhân dân các tỉnh, thành phố: Hà Nội, thành phố Hồ Chí Minh, Quảng Ninh, Bình Dương, Bắc Ninh phối hợp chặt chẽ với Văn phòng Chính phủ trong việc tổ chức triển khai thí điểm Mô hình Trung tâm phục vụ hành chính công một cấp trực thuộc Ủy ban nhân dân cấp tỉnh theo chỉ đạo của Chính phủ, báo cáo Thủ tướng Chính phủ kết quả triển khai trước ngày 10/12/2025.</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Văn phòng Chính phủ chủ trì, phối hợp với Bộ Công an và các bộ, ngành có liên quan nghiên cứu, xây dựng, trình Chính phủ, Thủ tướng Chính phủ sửa đổi, bổ sung, thay thế các quy định pháp luật có liên quan về cổng Dịch vụ công quốc gia bảo đảm hành lang pháp lý cho việc phát triển, quản lý, vận hành, khai thác và cung cấp dịch vụ công trực tuyến trên cổng Dịch vụ công quốc gia tại Trung tâm dữ liệu quốc gia; chủ trì, phối hợp với Bộ Công an và các bộ, ngành, địa phương nâng cấp, phát triển Cơ sở dữ liệu quốc gia về TTHC và Hệ thống thông tin PAKN trên Cổng Dịch vụ công quốc gia theo hướng ứng dụng trí tuệ nhân tạo để hỗ trợ người dân, doanh nghiệp trong tiếp cận thông tin về TTHC, kịp thời nắm bắt, phát hiện những vấn đề khó khăn, vướng mắc về cơ chế, chính sách, TTHC...</w:t>
      </w:r>
    </w:p>
    <w:p w:rsidR="00FF188B" w:rsidRPr="00FF188B" w:rsidRDefault="00FF188B" w:rsidP="00FF188B">
      <w:pPr>
        <w:shd w:val="clear" w:color="auto" w:fill="FFFFFF"/>
        <w:spacing w:after="0" w:line="240" w:lineRule="auto"/>
        <w:jc w:val="both"/>
        <w:outlineLvl w:val="3"/>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3- Chỉ đạo, điều hành trên môi trường điện tử gắn với cải cách TTHC</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Các bộ, cơ quan ngang bộ, Ủy ban nhân dân các tỉnh, thành phố trực thuộc Trung ương phát triển, hoàn thiện Hệ thống thông tin báo cáo hướng tới hình thành Hệ thống thông tin chỉ đạo, điều hành của bộ, ngành, địa phương kết nối với Hệ thống thông tin chỉ đạo, điều hành của Chính phủ, Thủ tướng Chính phủ theo quy định; kết nối, chia sẻ thông tin, dữ liệu với hệ thống thông tin phục vụ chỉ đạo, điều hành của các bộ, ngành, Ủy ban nhân dân cấp tỉnh khác khi có yêu cầu, hoàn thành trong Quý III năm 2025.</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 xml:space="preserve">Triển khai Hệ thống quản lý văn bản và điều hành, kết nối với hệ thống Trục liên thông văn bản quốc gia, Hệ thống theo dõi nhiệm vụ Chính phủ, Thủ tướng Chính phủ giao và </w:t>
      </w:r>
      <w:r w:rsidRPr="00FF188B">
        <w:rPr>
          <w:rFonts w:ascii="NotoSerif" w:eastAsia="Times New Roman" w:hAnsi="NotoSerif" w:cs="Arial"/>
          <w:color w:val="333333"/>
          <w:sz w:val="26"/>
          <w:szCs w:val="26"/>
        </w:rPr>
        <w:lastRenderedPageBreak/>
        <w:t>các hệ thống nội bộ của bộ, ngành, địa phương bảo đảm hoạt động chỉ đạo, điều hành trực tuyến, dựa trên dữ liệu và toàn trình, hoàn thành trong Quý III năm 2025.</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Ban Cơ yếu Chính phủ thúc đẩy triển khai, tích hợp chữ ký số chuyên dùng công vụ cho các Hệ thống quản lý văn bản và điều hành trong cơ quan nhà nước trên môi trường điện tử; hoàn thành trong Quý III năm 2025.</w:t>
      </w:r>
    </w:p>
    <w:p w:rsidR="00FF188B" w:rsidRPr="00FF188B" w:rsidRDefault="00FF188B" w:rsidP="00FF188B">
      <w:pPr>
        <w:shd w:val="clear" w:color="auto" w:fill="FFFFFF"/>
        <w:spacing w:before="233" w:after="233" w:line="450" w:lineRule="atLeast"/>
        <w:jc w:val="both"/>
        <w:rPr>
          <w:rFonts w:ascii="NotoSerif" w:eastAsia="Times New Roman" w:hAnsi="NotoSerif" w:cs="Arial"/>
          <w:color w:val="333333"/>
          <w:sz w:val="26"/>
          <w:szCs w:val="26"/>
        </w:rPr>
      </w:pPr>
      <w:r w:rsidRPr="00FF188B">
        <w:rPr>
          <w:rFonts w:ascii="NotoSerif" w:eastAsia="Times New Roman" w:hAnsi="NotoSerif" w:cs="Arial"/>
          <w:color w:val="333333"/>
          <w:sz w:val="26"/>
          <w:szCs w:val="26"/>
        </w:rPr>
        <w:t>Văn phòng Chính phủ chủ trì, phối hợp với các bộ, ngành, Ủy ban nhân dân cấp tỉnh, các cơ quan, tổ chức liên quan điều phối, kết nối, liên thông, tích hợp, chia sẻ thông tin giữa các hệ thống thông tin phục vụ chỉ đạo, điều hành của Chính phủ, Thủ tướng Chính phủ với hệ thống thông tin, cơ sở dữ liệu của các bộ, ngành, Ủy ban nhân dân cấp tỉnh phục vụ công tác lãnh đạo, chỉ đạo, điều hành của Chính phủ, Thủ tướng Chính phủ theo quy định pháp luật; tổ chức giám sát, đánh giá chất lượng thông tin, dữ liệu được kết nối, tích hợp phục vụ chỉ đạo điều hành của Chính phủ, Thủ tướng Chính phủ...</w:t>
      </w:r>
    </w:p>
    <w:p w:rsidR="00FF188B" w:rsidRPr="00FF188B" w:rsidRDefault="00FF188B" w:rsidP="00FF188B">
      <w:pPr>
        <w:shd w:val="clear" w:color="auto" w:fill="FFFFFF"/>
        <w:spacing w:after="0" w:line="450" w:lineRule="atLeast"/>
        <w:jc w:val="right"/>
        <w:rPr>
          <w:rFonts w:ascii="NotoSerif" w:eastAsia="Times New Roman" w:hAnsi="NotoSerif" w:cs="Arial"/>
          <w:color w:val="333333"/>
          <w:sz w:val="26"/>
          <w:szCs w:val="26"/>
        </w:rPr>
      </w:pPr>
      <w:r w:rsidRPr="00FF188B">
        <w:rPr>
          <w:rFonts w:ascii="NotoSerif" w:eastAsia="Times New Roman" w:hAnsi="NotoSerif" w:cs="Arial"/>
          <w:b/>
          <w:bCs/>
          <w:color w:val="333333"/>
          <w:sz w:val="26"/>
          <w:szCs w:val="26"/>
        </w:rPr>
        <w:t xml:space="preserve">Phương Nhi </w:t>
      </w:r>
      <w:proofErr w:type="gramStart"/>
      <w:r w:rsidRPr="00FF188B">
        <w:rPr>
          <w:rFonts w:ascii="NotoSerif" w:eastAsia="Times New Roman" w:hAnsi="NotoSerif" w:cs="Arial"/>
          <w:b/>
          <w:bCs/>
          <w:color w:val="333333"/>
          <w:sz w:val="26"/>
          <w:szCs w:val="26"/>
        </w:rPr>
        <w:t>( Chinhphu.vn</w:t>
      </w:r>
      <w:proofErr w:type="gramEnd"/>
      <w:r w:rsidRPr="00FF188B">
        <w:rPr>
          <w:rFonts w:ascii="NotoSerif" w:eastAsia="Times New Roman" w:hAnsi="NotoSerif" w:cs="Arial"/>
          <w:b/>
          <w:bCs/>
          <w:color w:val="333333"/>
          <w:sz w:val="26"/>
          <w:szCs w:val="26"/>
        </w:rPr>
        <w:t>)</w:t>
      </w:r>
    </w:p>
    <w:p w:rsidR="00FF188B" w:rsidRPr="00FF188B" w:rsidRDefault="00FF188B" w:rsidP="00FF188B">
      <w:pPr>
        <w:shd w:val="clear" w:color="auto" w:fill="FFFFFF"/>
        <w:spacing w:before="90" w:after="0" w:line="240" w:lineRule="auto"/>
        <w:jc w:val="right"/>
        <w:outlineLvl w:val="3"/>
        <w:rPr>
          <w:rFonts w:ascii="Arial" w:eastAsia="Times New Roman" w:hAnsi="Arial" w:cs="Arial"/>
          <w:b/>
          <w:bCs/>
          <w:color w:val="333333"/>
          <w:sz w:val="21"/>
          <w:szCs w:val="21"/>
        </w:rPr>
      </w:pPr>
      <w:proofErr w:type="gramStart"/>
      <w:r w:rsidRPr="00FF188B">
        <w:rPr>
          <w:rFonts w:ascii="Arial" w:eastAsia="Times New Roman" w:hAnsi="Arial" w:cs="Arial"/>
          <w:b/>
          <w:bCs/>
          <w:color w:val="333333"/>
          <w:sz w:val="21"/>
          <w:szCs w:val="21"/>
        </w:rPr>
        <w:t>link</w:t>
      </w:r>
      <w:proofErr w:type="gramEnd"/>
      <w:r w:rsidRPr="00FF188B">
        <w:rPr>
          <w:rFonts w:ascii="Arial" w:eastAsia="Times New Roman" w:hAnsi="Arial" w:cs="Arial"/>
          <w:b/>
          <w:bCs/>
          <w:color w:val="333333"/>
          <w:sz w:val="21"/>
          <w:szCs w:val="21"/>
        </w:rPr>
        <w:t>: https://baochinhphu.vn/ke-hoach-cai-cach-thu-tuc-hanh-chinh-trong-tam-nam-2025-1022502</w:t>
      </w:r>
    </w:p>
    <w:p w:rsidR="006C3F59" w:rsidRDefault="006C3F59"/>
    <w:sectPr w:rsidR="006C3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8B"/>
    <w:rsid w:val="006C3F59"/>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1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8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8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88B"/>
    <w:rPr>
      <w:rFonts w:ascii="Times New Roman" w:eastAsia="Times New Roman" w:hAnsi="Times New Roman" w:cs="Times New Roman"/>
      <w:b/>
      <w:bCs/>
      <w:sz w:val="24"/>
      <w:szCs w:val="24"/>
    </w:rPr>
  </w:style>
  <w:style w:type="paragraph" w:customStyle="1" w:styleId="lead">
    <w:name w:val="lead"/>
    <w:basedOn w:val="Normal"/>
    <w:rsid w:val="00FF18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18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1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8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8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88B"/>
    <w:rPr>
      <w:rFonts w:ascii="Times New Roman" w:eastAsia="Times New Roman" w:hAnsi="Times New Roman" w:cs="Times New Roman"/>
      <w:b/>
      <w:bCs/>
      <w:sz w:val="24"/>
      <w:szCs w:val="24"/>
    </w:rPr>
  </w:style>
  <w:style w:type="paragraph" w:customStyle="1" w:styleId="lead">
    <w:name w:val="lead"/>
    <w:basedOn w:val="Normal"/>
    <w:rsid w:val="00FF18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1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2451">
      <w:bodyDiv w:val="1"/>
      <w:marLeft w:val="0"/>
      <w:marRight w:val="0"/>
      <w:marTop w:val="0"/>
      <w:marBottom w:val="0"/>
      <w:divBdr>
        <w:top w:val="none" w:sz="0" w:space="0" w:color="auto"/>
        <w:left w:val="none" w:sz="0" w:space="0" w:color="auto"/>
        <w:bottom w:val="none" w:sz="0" w:space="0" w:color="auto"/>
        <w:right w:val="none" w:sz="0" w:space="0" w:color="auto"/>
      </w:divBdr>
      <w:divsChild>
        <w:div w:id="757364223">
          <w:marLeft w:val="0"/>
          <w:marRight w:val="0"/>
          <w:marTop w:val="150"/>
          <w:marBottom w:val="300"/>
          <w:divBdr>
            <w:top w:val="none" w:sz="0" w:space="0" w:color="auto"/>
            <w:left w:val="none" w:sz="0" w:space="0" w:color="auto"/>
            <w:bottom w:val="single" w:sz="6" w:space="7" w:color="EEEEEE"/>
            <w:right w:val="none" w:sz="0" w:space="0" w:color="auto"/>
          </w:divBdr>
          <w:divsChild>
            <w:div w:id="81799008">
              <w:marLeft w:val="0"/>
              <w:marRight w:val="0"/>
              <w:marTop w:val="0"/>
              <w:marBottom w:val="0"/>
              <w:divBdr>
                <w:top w:val="none" w:sz="0" w:space="0" w:color="auto"/>
                <w:left w:val="none" w:sz="0" w:space="0" w:color="auto"/>
                <w:bottom w:val="none" w:sz="0" w:space="0" w:color="auto"/>
                <w:right w:val="none" w:sz="0" w:space="0" w:color="auto"/>
              </w:divBdr>
              <w:divsChild>
                <w:div w:id="1337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B5158-BF2E-49E1-A0D0-1F69E7D2C69B}"/>
</file>

<file path=customXml/itemProps2.xml><?xml version="1.0" encoding="utf-8"?>
<ds:datastoreItem xmlns:ds="http://schemas.openxmlformats.org/officeDocument/2006/customXml" ds:itemID="{66764EFD-8759-4A29-85A4-9C45D55E5904}"/>
</file>

<file path=customXml/itemProps3.xml><?xml version="1.0" encoding="utf-8"?>
<ds:datastoreItem xmlns:ds="http://schemas.openxmlformats.org/officeDocument/2006/customXml" ds:itemID="{D804ACB8-7306-40CC-B50A-BC46032FB21A}"/>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2025-02-10T07:15:00Z</dcterms:created>
  <dcterms:modified xsi:type="dcterms:W3CDTF">2025-02-10T07:15:00Z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